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984"/>
        <w:gridCol w:w="2694"/>
      </w:tblGrid>
      <w:tr w:rsidR="00406593" w:rsidRPr="00936CD0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  <w:u w:val="single"/>
              </w:rPr>
            </w:pPr>
            <w:r w:rsidRPr="00936CD0">
              <w:rPr>
                <w:b/>
                <w:sz w:val="20"/>
              </w:rPr>
              <w:t xml:space="preserve">Anlage 3 zum Vertrag nach </w:t>
            </w:r>
            <w:r w:rsidR="00921B65">
              <w:rPr>
                <w:b/>
                <w:sz w:val="20"/>
              </w:rPr>
              <w:t>DE</w:t>
            </w:r>
            <w:r w:rsidRPr="00936CD0">
              <w:rPr>
                <w:b/>
                <w:sz w:val="20"/>
              </w:rPr>
              <w:t>-UZ 104</w:t>
            </w:r>
          </w:p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  <w:u w:val="single"/>
              </w:rPr>
            </w:pPr>
          </w:p>
          <w:p w:rsidR="00406593" w:rsidRPr="00936CD0" w:rsidRDefault="00406593" w:rsidP="003631A3">
            <w:pPr>
              <w:tabs>
                <w:tab w:val="left" w:pos="5670"/>
              </w:tabs>
              <w:spacing w:line="360" w:lineRule="auto"/>
              <w:rPr>
                <w:b/>
                <w:sz w:val="20"/>
              </w:rPr>
            </w:pPr>
            <w:r w:rsidRPr="00936CD0">
              <w:rPr>
                <w:b/>
                <w:sz w:val="20"/>
              </w:rPr>
              <w:t xml:space="preserve">Umweltzeichen für </w:t>
            </w:r>
          </w:p>
          <w:p w:rsidR="00406593" w:rsidRPr="00936CD0" w:rsidRDefault="00406593" w:rsidP="003631A3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0"/>
                <w:u w:val="single"/>
              </w:rPr>
            </w:pPr>
            <w:r w:rsidRPr="00936CD0">
              <w:rPr>
                <w:b/>
                <w:sz w:val="20"/>
              </w:rPr>
              <w:t>„Nassreinigungsdienstleistung“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  <w:u w:val="single"/>
              </w:rPr>
            </w:pPr>
          </w:p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  <w:u w:val="single"/>
              </w:rPr>
            </w:pPr>
          </w:p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406593" w:rsidRPr="00936CD0" w:rsidRDefault="00406593" w:rsidP="003631A3">
            <w:pPr>
              <w:tabs>
                <w:tab w:val="left" w:pos="5670"/>
              </w:tabs>
              <w:jc w:val="center"/>
              <w:rPr>
                <w:b/>
                <w:sz w:val="20"/>
              </w:rPr>
            </w:pPr>
          </w:p>
          <w:p w:rsidR="00406593" w:rsidRPr="00936CD0" w:rsidRDefault="00406593" w:rsidP="003631A3">
            <w:pPr>
              <w:tabs>
                <w:tab w:val="left" w:pos="5670"/>
              </w:tabs>
              <w:jc w:val="center"/>
              <w:rPr>
                <w:b/>
                <w:sz w:val="20"/>
              </w:rPr>
            </w:pPr>
            <w:r w:rsidRPr="00936CD0">
              <w:rPr>
                <w:b/>
                <w:sz w:val="20"/>
              </w:rPr>
              <w:t>Bitte benutzen Sie</w:t>
            </w:r>
          </w:p>
          <w:p w:rsidR="00406593" w:rsidRPr="00936CD0" w:rsidRDefault="00406593" w:rsidP="003631A3">
            <w:pPr>
              <w:tabs>
                <w:tab w:val="left" w:pos="5670"/>
              </w:tabs>
              <w:jc w:val="center"/>
              <w:rPr>
                <w:b/>
                <w:sz w:val="20"/>
              </w:rPr>
            </w:pPr>
          </w:p>
          <w:p w:rsidR="00406593" w:rsidRPr="00936CD0" w:rsidRDefault="00406593" w:rsidP="003631A3">
            <w:pPr>
              <w:tabs>
                <w:tab w:val="left" w:pos="5670"/>
              </w:tabs>
              <w:jc w:val="center"/>
              <w:rPr>
                <w:b/>
                <w:sz w:val="20"/>
              </w:rPr>
            </w:pPr>
            <w:r w:rsidRPr="00936CD0">
              <w:rPr>
                <w:b/>
                <w:sz w:val="20"/>
              </w:rPr>
              <w:t xml:space="preserve">diesen </w:t>
            </w:r>
            <w:proofErr w:type="gramStart"/>
            <w:r w:rsidRPr="00936CD0">
              <w:rPr>
                <w:b/>
                <w:sz w:val="20"/>
              </w:rPr>
              <w:t>Vordruck !</w:t>
            </w:r>
            <w:proofErr w:type="gramEnd"/>
          </w:p>
          <w:p w:rsidR="00406593" w:rsidRPr="00936CD0" w:rsidRDefault="00406593" w:rsidP="003631A3">
            <w:pPr>
              <w:tabs>
                <w:tab w:val="left" w:pos="5670"/>
              </w:tabs>
              <w:rPr>
                <w:b/>
                <w:sz w:val="20"/>
              </w:rPr>
            </w:pPr>
          </w:p>
        </w:tc>
      </w:tr>
    </w:tbl>
    <w:p w:rsidR="00406593" w:rsidRPr="00936CD0" w:rsidRDefault="00406593" w:rsidP="00406593">
      <w:pPr>
        <w:tabs>
          <w:tab w:val="left" w:pos="5670"/>
        </w:tabs>
        <w:rPr>
          <w:sz w:val="20"/>
        </w:rPr>
      </w:pPr>
    </w:p>
    <w:p w:rsidR="00406593" w:rsidRPr="006B4DB5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  <w:r w:rsidRPr="006B4DB5">
        <w:rPr>
          <w:rFonts w:cs="Arial"/>
          <w:szCs w:val="22"/>
        </w:rPr>
        <w:t>Erklärung des Herstellers des Wasch-/ und Reinigungsmittels</w:t>
      </w:r>
    </w:p>
    <w:p w:rsidR="00406593" w:rsidRPr="006B4DB5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  <w:r w:rsidRPr="006B4DB5">
        <w:rPr>
          <w:rFonts w:cs="Arial"/>
          <w:szCs w:val="22"/>
        </w:rPr>
        <w:t>(Abschnitt 3.3.3</w:t>
      </w:r>
      <w:r w:rsidR="001813DC" w:rsidRPr="006B4DB5">
        <w:rPr>
          <w:rFonts w:cs="Arial"/>
          <w:szCs w:val="22"/>
        </w:rPr>
        <w:t xml:space="preserve"> und 3.3.4</w:t>
      </w:r>
      <w:r w:rsidRPr="006B4DB5">
        <w:rPr>
          <w:rFonts w:cs="Arial"/>
          <w:szCs w:val="22"/>
        </w:rPr>
        <w:t>)</w:t>
      </w:r>
    </w:p>
    <w:p w:rsidR="00406593" w:rsidRPr="006B4DB5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406593" w:rsidRPr="006B4DB5" w:rsidRDefault="00373686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r>
        <w:rPr>
          <w:rFonts w:cs="Arial"/>
          <w:szCs w:val="22"/>
        </w:rPr>
        <w:t>Hersteller</w:t>
      </w:r>
      <w:r w:rsidR="00406593" w:rsidRPr="006B4DB5">
        <w:rPr>
          <w:rFonts w:cs="Arial"/>
          <w:szCs w:val="22"/>
        </w:rPr>
        <w:t>:</w:t>
      </w:r>
      <w:r w:rsidR="00406593" w:rsidRPr="006B4DB5">
        <w:rPr>
          <w:rFonts w:cs="Arial"/>
          <w:szCs w:val="22"/>
        </w:rPr>
        <w:tab/>
      </w:r>
      <w:r w:rsidR="003631A3" w:rsidRPr="006B4DB5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bookmarkStart w:id="0" w:name="Text1"/>
      <w:r w:rsidR="003631A3" w:rsidRPr="006B4DB5">
        <w:rPr>
          <w:rFonts w:cs="Arial"/>
          <w:szCs w:val="22"/>
        </w:rPr>
        <w:instrText xml:space="preserve"> FORMTEXT </w:instrText>
      </w:r>
      <w:r w:rsidR="003631A3" w:rsidRPr="006B4DB5">
        <w:rPr>
          <w:rFonts w:cs="Arial"/>
          <w:szCs w:val="22"/>
        </w:rPr>
      </w:r>
      <w:r w:rsidR="003631A3" w:rsidRPr="006B4DB5">
        <w:rPr>
          <w:rFonts w:cs="Arial"/>
          <w:szCs w:val="22"/>
        </w:rPr>
        <w:fldChar w:fldCharType="separate"/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3631A3" w:rsidRPr="006B4DB5">
        <w:rPr>
          <w:rFonts w:cs="Arial"/>
          <w:szCs w:val="22"/>
        </w:rPr>
        <w:fldChar w:fldCharType="end"/>
      </w:r>
      <w:bookmarkEnd w:id="0"/>
    </w:p>
    <w:p w:rsidR="00406593" w:rsidRPr="006B4DB5" w:rsidRDefault="003631A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r w:rsidRPr="006B4DB5">
        <w:rPr>
          <w:rFonts w:cs="Arial"/>
          <w:szCs w:val="22"/>
        </w:rPr>
        <w:tab/>
      </w:r>
      <w:r w:rsidRPr="006B4DB5">
        <w:rPr>
          <w:rFonts w:cs="Arial"/>
          <w:szCs w:val="22"/>
        </w:rPr>
        <w:tab/>
      </w:r>
      <w:r w:rsidRPr="006B4DB5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Pr="006B4DB5">
        <w:rPr>
          <w:rFonts w:cs="Arial"/>
          <w:szCs w:val="22"/>
        </w:rPr>
        <w:instrText xml:space="preserve"> FORMTEXT </w:instrText>
      </w:r>
      <w:r w:rsidRPr="006B4DB5">
        <w:rPr>
          <w:rFonts w:cs="Arial"/>
          <w:szCs w:val="22"/>
        </w:rPr>
      </w:r>
      <w:r w:rsidRPr="006B4DB5">
        <w:rPr>
          <w:rFonts w:cs="Arial"/>
          <w:szCs w:val="22"/>
        </w:rPr>
        <w:fldChar w:fldCharType="separate"/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Pr="006B4DB5">
        <w:rPr>
          <w:rFonts w:cs="Arial"/>
          <w:szCs w:val="22"/>
        </w:rPr>
        <w:fldChar w:fldCharType="end"/>
      </w:r>
    </w:p>
    <w:p w:rsidR="00406593" w:rsidRPr="006B4DB5" w:rsidRDefault="0040659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</w:p>
    <w:p w:rsidR="00406593" w:rsidRPr="006B4DB5" w:rsidRDefault="0040659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r w:rsidRPr="006B4DB5">
        <w:rPr>
          <w:rFonts w:cs="Arial"/>
          <w:szCs w:val="22"/>
        </w:rPr>
        <w:t>Sitz:</w:t>
      </w:r>
      <w:r w:rsidRPr="006B4DB5">
        <w:rPr>
          <w:rFonts w:cs="Arial"/>
          <w:szCs w:val="22"/>
        </w:rPr>
        <w:tab/>
      </w:r>
      <w:r w:rsidRPr="006B4DB5">
        <w:rPr>
          <w:rFonts w:cs="Arial"/>
          <w:szCs w:val="22"/>
        </w:rPr>
        <w:tab/>
      </w:r>
      <w:r w:rsidR="003631A3" w:rsidRPr="006B4DB5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="003631A3" w:rsidRPr="006B4DB5">
        <w:rPr>
          <w:rFonts w:cs="Arial"/>
          <w:szCs w:val="22"/>
        </w:rPr>
        <w:instrText xml:space="preserve"> FORMTEXT </w:instrText>
      </w:r>
      <w:r w:rsidR="003631A3" w:rsidRPr="006B4DB5">
        <w:rPr>
          <w:rFonts w:cs="Arial"/>
          <w:szCs w:val="22"/>
        </w:rPr>
      </w:r>
      <w:r w:rsidR="003631A3" w:rsidRPr="006B4DB5">
        <w:rPr>
          <w:rFonts w:cs="Arial"/>
          <w:szCs w:val="22"/>
        </w:rPr>
        <w:fldChar w:fldCharType="separate"/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3631A3" w:rsidRPr="006B4DB5">
        <w:rPr>
          <w:rFonts w:cs="Arial"/>
          <w:szCs w:val="22"/>
        </w:rPr>
        <w:fldChar w:fldCharType="end"/>
      </w:r>
    </w:p>
    <w:p w:rsidR="00406593" w:rsidRPr="006B4DB5" w:rsidRDefault="003631A3" w:rsidP="003631A3">
      <w:pPr>
        <w:tabs>
          <w:tab w:val="left" w:pos="1418"/>
          <w:tab w:val="left" w:pos="6804"/>
        </w:tabs>
        <w:ind w:left="851" w:hanging="851"/>
        <w:rPr>
          <w:rFonts w:cs="Arial"/>
          <w:szCs w:val="22"/>
        </w:rPr>
      </w:pPr>
      <w:r w:rsidRPr="006B4DB5">
        <w:rPr>
          <w:rFonts w:cs="Arial"/>
          <w:szCs w:val="22"/>
        </w:rPr>
        <w:tab/>
      </w:r>
      <w:r w:rsidRPr="006B4DB5">
        <w:rPr>
          <w:rFonts w:cs="Arial"/>
          <w:szCs w:val="22"/>
        </w:rPr>
        <w:tab/>
      </w:r>
      <w:r w:rsidRPr="006B4DB5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Pr="006B4DB5">
        <w:rPr>
          <w:rFonts w:cs="Arial"/>
          <w:szCs w:val="22"/>
        </w:rPr>
        <w:instrText xml:space="preserve"> FORMTEXT </w:instrText>
      </w:r>
      <w:r w:rsidRPr="006B4DB5">
        <w:rPr>
          <w:rFonts w:cs="Arial"/>
          <w:szCs w:val="22"/>
        </w:rPr>
      </w:r>
      <w:r w:rsidRPr="006B4DB5">
        <w:rPr>
          <w:rFonts w:cs="Arial"/>
          <w:szCs w:val="22"/>
        </w:rPr>
        <w:fldChar w:fldCharType="separate"/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Pr="006B4DB5">
        <w:rPr>
          <w:rFonts w:cs="Arial"/>
          <w:szCs w:val="22"/>
        </w:rPr>
        <w:fldChar w:fldCharType="end"/>
      </w:r>
    </w:p>
    <w:p w:rsidR="00406593" w:rsidRPr="006B4DB5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406593" w:rsidRPr="006B4DB5" w:rsidRDefault="001813DC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  <w:r w:rsidRPr="006B4DB5">
        <w:rPr>
          <w:rFonts w:cs="Arial"/>
          <w:szCs w:val="22"/>
        </w:rPr>
        <w:t>Wasch-/Reinigungsmittel</w:t>
      </w:r>
    </w:p>
    <w:p w:rsidR="001813DC" w:rsidRPr="006B4DB5" w:rsidRDefault="001813DC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44"/>
        <w:gridCol w:w="1531"/>
        <w:gridCol w:w="1318"/>
        <w:gridCol w:w="1181"/>
        <w:gridCol w:w="2163"/>
        <w:gridCol w:w="1366"/>
      </w:tblGrid>
      <w:tr w:rsidR="00A26A7B" w:rsidRPr="006B4DB5" w:rsidTr="00411355">
        <w:tc>
          <w:tcPr>
            <w:tcW w:w="1644" w:type="dxa"/>
            <w:vMerge w:val="restart"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t>Handelsname</w:t>
            </w:r>
          </w:p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</w:p>
        </w:tc>
        <w:tc>
          <w:tcPr>
            <w:tcW w:w="1531" w:type="dxa"/>
            <w:vMerge w:val="restart"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t>Funktion</w:t>
            </w:r>
          </w:p>
        </w:tc>
        <w:tc>
          <w:tcPr>
            <w:tcW w:w="2499" w:type="dxa"/>
            <w:gridSpan w:val="2"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t>Sind gemäß Abschnitt 3.3.3 (UZ 104) ausgeschlossene Stoffe in einer Konzentration &gt;= 0,10 % enthalten?</w:t>
            </w:r>
          </w:p>
        </w:tc>
        <w:tc>
          <w:tcPr>
            <w:tcW w:w="2163" w:type="dxa"/>
            <w:vMerge w:val="restart"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t xml:space="preserve">Falls „Ja“, basierend auf welcher Ausnahme </w:t>
            </w:r>
          </w:p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t>(gemäß 3.3.3)</w:t>
            </w:r>
          </w:p>
        </w:tc>
        <w:tc>
          <w:tcPr>
            <w:tcW w:w="1366" w:type="dxa"/>
            <w:vMerge w:val="restart"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t>Datum des</w:t>
            </w:r>
          </w:p>
          <w:p w:rsidR="00A26A7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aktuellen, beigefügten</w:t>
            </w:r>
            <w:r w:rsidR="00A26A7B" w:rsidRPr="006B4DB5">
              <w:rPr>
                <w:rFonts w:cs="Arial"/>
                <w:szCs w:val="22"/>
              </w:rPr>
              <w:t xml:space="preserve"> SDS</w:t>
            </w:r>
          </w:p>
        </w:tc>
      </w:tr>
      <w:tr w:rsidR="00A26A7B" w:rsidRPr="006B4DB5" w:rsidTr="00411355">
        <w:tc>
          <w:tcPr>
            <w:tcW w:w="1644" w:type="dxa"/>
            <w:vMerge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</w:p>
        </w:tc>
        <w:tc>
          <w:tcPr>
            <w:tcW w:w="1531" w:type="dxa"/>
            <w:vMerge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</w:p>
        </w:tc>
        <w:tc>
          <w:tcPr>
            <w:tcW w:w="1318" w:type="dxa"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t>Nein</w:t>
            </w:r>
          </w:p>
        </w:tc>
        <w:tc>
          <w:tcPr>
            <w:tcW w:w="1181" w:type="dxa"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t>Ja</w:t>
            </w:r>
          </w:p>
        </w:tc>
        <w:tc>
          <w:tcPr>
            <w:tcW w:w="2163" w:type="dxa"/>
            <w:vMerge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</w:p>
        </w:tc>
        <w:tc>
          <w:tcPr>
            <w:tcW w:w="1366" w:type="dxa"/>
            <w:vMerge/>
          </w:tcPr>
          <w:p w:rsidR="00A26A7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</w:p>
        </w:tc>
      </w:tr>
      <w:tr w:rsidR="00A26A7B" w:rsidRPr="006B4DB5" w:rsidTr="00411355">
        <w:trPr>
          <w:trHeight w:val="397"/>
        </w:trPr>
        <w:tc>
          <w:tcPr>
            <w:tcW w:w="1644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"/>
          </w:p>
        </w:tc>
        <w:tc>
          <w:tcPr>
            <w:tcW w:w="1531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18" w:type="dxa"/>
          </w:tcPr>
          <w:p w:rsidR="006C7BC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51"/>
            <w:r w:rsidRPr="006B4DB5">
              <w:rPr>
                <w:rFonts w:cs="Arial"/>
                <w:szCs w:val="22"/>
              </w:rPr>
              <w:instrText xml:space="preserve"> FORMCHECKBOX </w:instrText>
            </w:r>
            <w:r w:rsidR="00411355">
              <w:rPr>
                <w:rFonts w:cs="Arial"/>
                <w:szCs w:val="22"/>
              </w:rPr>
            </w:r>
            <w:r w:rsidR="00411355"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  <w:bookmarkEnd w:id="2"/>
          </w:p>
        </w:tc>
        <w:tc>
          <w:tcPr>
            <w:tcW w:w="1181" w:type="dxa"/>
          </w:tcPr>
          <w:p w:rsidR="006C7BC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 w:rsidR="00411355">
              <w:rPr>
                <w:rFonts w:cs="Arial"/>
                <w:szCs w:val="22"/>
              </w:rPr>
            </w:r>
            <w:r w:rsidR="00411355"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163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66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26A7B" w:rsidRPr="006B4DB5" w:rsidTr="00411355">
        <w:trPr>
          <w:trHeight w:val="397"/>
        </w:trPr>
        <w:tc>
          <w:tcPr>
            <w:tcW w:w="1644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18" w:type="dxa"/>
          </w:tcPr>
          <w:p w:rsidR="006C7BC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 w:rsidR="00411355">
              <w:rPr>
                <w:rFonts w:cs="Arial"/>
                <w:szCs w:val="22"/>
              </w:rPr>
            </w:r>
            <w:r w:rsidR="00411355"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81" w:type="dxa"/>
          </w:tcPr>
          <w:p w:rsidR="006C7BC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 w:rsidR="00411355">
              <w:rPr>
                <w:rFonts w:cs="Arial"/>
                <w:szCs w:val="22"/>
              </w:rPr>
            </w:r>
            <w:r w:rsidR="00411355"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163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66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26A7B" w:rsidRPr="006B4DB5" w:rsidTr="00411355">
        <w:trPr>
          <w:trHeight w:val="397"/>
        </w:trPr>
        <w:tc>
          <w:tcPr>
            <w:tcW w:w="1644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18" w:type="dxa"/>
          </w:tcPr>
          <w:p w:rsidR="006C7BC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 w:rsidR="00411355">
              <w:rPr>
                <w:rFonts w:cs="Arial"/>
                <w:szCs w:val="22"/>
              </w:rPr>
            </w:r>
            <w:r w:rsidR="00411355"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81" w:type="dxa"/>
          </w:tcPr>
          <w:p w:rsidR="006C7BCB" w:rsidRPr="006B4DB5" w:rsidRDefault="00A26A7B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 w:rsidR="00411355">
              <w:rPr>
                <w:rFonts w:cs="Arial"/>
                <w:szCs w:val="22"/>
              </w:rPr>
            </w:r>
            <w:r w:rsidR="00411355"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163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66" w:type="dxa"/>
          </w:tcPr>
          <w:p w:rsidR="006C7BCB" w:rsidRPr="006B4DB5" w:rsidRDefault="00495CAF" w:rsidP="00406593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26A7B" w:rsidRPr="006B4DB5" w:rsidTr="00411355">
        <w:trPr>
          <w:trHeight w:val="397"/>
        </w:trPr>
        <w:tc>
          <w:tcPr>
            <w:tcW w:w="1644" w:type="dxa"/>
          </w:tcPr>
          <w:p w:rsidR="00A26A7B" w:rsidRPr="006B4DB5" w:rsidRDefault="00495CAF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</w:tcPr>
          <w:p w:rsidR="00A26A7B" w:rsidRPr="006B4DB5" w:rsidRDefault="00495CAF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18" w:type="dxa"/>
          </w:tcPr>
          <w:p w:rsidR="00A26A7B" w:rsidRPr="006B4DB5" w:rsidRDefault="00A26A7B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 w:rsidR="00411355">
              <w:rPr>
                <w:rFonts w:cs="Arial"/>
                <w:szCs w:val="22"/>
              </w:rPr>
            </w:r>
            <w:r w:rsidR="00411355"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81" w:type="dxa"/>
          </w:tcPr>
          <w:p w:rsidR="00A26A7B" w:rsidRPr="006B4DB5" w:rsidRDefault="00A26A7B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 w:rsidR="00411355">
              <w:rPr>
                <w:rFonts w:cs="Arial"/>
                <w:szCs w:val="22"/>
              </w:rPr>
            </w:r>
            <w:r w:rsidR="00411355"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163" w:type="dxa"/>
          </w:tcPr>
          <w:p w:rsidR="00A26A7B" w:rsidRPr="006B4DB5" w:rsidRDefault="00495CAF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66" w:type="dxa"/>
          </w:tcPr>
          <w:p w:rsidR="00A26A7B" w:rsidRPr="006B4DB5" w:rsidRDefault="00495CAF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26A7B" w:rsidRPr="006B4DB5" w:rsidTr="00411355">
        <w:trPr>
          <w:trHeight w:val="397"/>
        </w:trPr>
        <w:tc>
          <w:tcPr>
            <w:tcW w:w="1644" w:type="dxa"/>
          </w:tcPr>
          <w:p w:rsidR="00A26A7B" w:rsidRPr="006B4DB5" w:rsidRDefault="00495CAF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</w:tcPr>
          <w:p w:rsidR="00A26A7B" w:rsidRPr="006B4DB5" w:rsidRDefault="00495CAF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18" w:type="dxa"/>
          </w:tcPr>
          <w:p w:rsidR="00A26A7B" w:rsidRPr="006B4DB5" w:rsidRDefault="00A26A7B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 w:rsidR="00411355">
              <w:rPr>
                <w:rFonts w:cs="Arial"/>
                <w:szCs w:val="22"/>
              </w:rPr>
            </w:r>
            <w:r w:rsidR="00411355"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81" w:type="dxa"/>
          </w:tcPr>
          <w:p w:rsidR="00A26A7B" w:rsidRPr="006B4DB5" w:rsidRDefault="00A26A7B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 w:rsidR="00411355">
              <w:rPr>
                <w:rFonts w:cs="Arial"/>
                <w:szCs w:val="22"/>
              </w:rPr>
            </w:r>
            <w:r w:rsidR="00411355"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163" w:type="dxa"/>
          </w:tcPr>
          <w:p w:rsidR="00A26A7B" w:rsidRPr="006B4DB5" w:rsidRDefault="00495CAF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66" w:type="dxa"/>
          </w:tcPr>
          <w:p w:rsidR="00A26A7B" w:rsidRPr="006B4DB5" w:rsidRDefault="00495CAF" w:rsidP="002C0707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411355" w:rsidRPr="006B4DB5" w:rsidTr="00411355">
        <w:trPr>
          <w:trHeight w:val="397"/>
        </w:trPr>
        <w:tc>
          <w:tcPr>
            <w:tcW w:w="1644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18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81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163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66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411355" w:rsidRPr="006B4DB5" w:rsidTr="00411355">
        <w:trPr>
          <w:trHeight w:val="397"/>
        </w:trPr>
        <w:tc>
          <w:tcPr>
            <w:tcW w:w="1644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18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81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163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66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411355" w:rsidRPr="006B4DB5" w:rsidTr="00411355">
        <w:trPr>
          <w:trHeight w:val="397"/>
        </w:trPr>
        <w:tc>
          <w:tcPr>
            <w:tcW w:w="1644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18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81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 w:rsidRPr="006B4DB5">
              <w:rPr>
                <w:rFonts w:cs="Arial"/>
                <w:szCs w:val="22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DB5"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Pr="006B4DB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163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66" w:type="dxa"/>
          </w:tcPr>
          <w:p w:rsidR="00411355" w:rsidRPr="006B4DB5" w:rsidRDefault="00411355" w:rsidP="00411355">
            <w:pPr>
              <w:tabs>
                <w:tab w:val="left" w:pos="6804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</w:tbl>
    <w:p w:rsidR="001813DC" w:rsidRPr="006B4DB5" w:rsidRDefault="001813DC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56486C" w:rsidRDefault="0056486C" w:rsidP="0056486C">
      <w:pPr>
        <w:pStyle w:val="Default"/>
        <w:rPr>
          <w:rFonts w:ascii="Arial" w:hAnsi="Arial" w:cs="Arial"/>
          <w:sz w:val="22"/>
          <w:szCs w:val="22"/>
        </w:rPr>
      </w:pPr>
    </w:p>
    <w:p w:rsidR="006B4DB5" w:rsidRPr="006B4DB5" w:rsidRDefault="006B4DB5" w:rsidP="0056486C">
      <w:pPr>
        <w:pStyle w:val="Default"/>
        <w:rPr>
          <w:rFonts w:ascii="Arial" w:hAnsi="Arial" w:cs="Arial"/>
          <w:sz w:val="22"/>
          <w:szCs w:val="22"/>
        </w:rPr>
      </w:pPr>
    </w:p>
    <w:p w:rsidR="0056486C" w:rsidRDefault="0056486C" w:rsidP="0056486C">
      <w:pPr>
        <w:pStyle w:val="Default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In den oben aufgeführten Wasch- und Reinigungsmitteln </w:t>
      </w:r>
      <w:r w:rsidR="006B4DB5" w:rsidRPr="006B4DB5">
        <w:rPr>
          <w:rFonts w:ascii="Arial" w:hAnsi="Arial" w:cs="Arial"/>
          <w:sz w:val="22"/>
          <w:szCs w:val="22"/>
        </w:rPr>
        <w:t xml:space="preserve">sind die folgenden Stoffe nicht in </w:t>
      </w:r>
      <w:r w:rsidRPr="006B4DB5">
        <w:rPr>
          <w:rFonts w:ascii="Arial" w:hAnsi="Arial" w:cs="Arial"/>
          <w:sz w:val="22"/>
          <w:szCs w:val="22"/>
        </w:rPr>
        <w:t xml:space="preserve">einer Konzentration &gt; = 0,10% enthalten: </w:t>
      </w:r>
    </w:p>
    <w:p w:rsidR="006B4DB5" w:rsidRPr="006B4DB5" w:rsidRDefault="006B4DB5" w:rsidP="0056486C">
      <w:pPr>
        <w:pStyle w:val="Default"/>
        <w:rPr>
          <w:rFonts w:ascii="Arial" w:hAnsi="Arial" w:cs="Arial"/>
          <w:sz w:val="22"/>
          <w:szCs w:val="22"/>
        </w:rPr>
      </w:pP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Alkylphenolethoxylate (APEO) und Derivate daraus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EDTA (Ethylendiamintetraessigsäure) und ihre Salze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DTPA (Diethylentriaminpentaessigsäure) und ihre Salze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anorganische </w:t>
      </w:r>
      <w:proofErr w:type="gramStart"/>
      <w:r w:rsidRPr="006B4DB5">
        <w:rPr>
          <w:rFonts w:ascii="Arial" w:hAnsi="Arial" w:cs="Arial"/>
          <w:sz w:val="22"/>
          <w:szCs w:val="22"/>
        </w:rPr>
        <w:t>Phosphate(</w:t>
      </w:r>
      <w:proofErr w:type="gramEnd"/>
      <w:r w:rsidRPr="006B4DB5">
        <w:rPr>
          <w:rFonts w:ascii="Arial" w:hAnsi="Arial" w:cs="Arial"/>
          <w:sz w:val="22"/>
          <w:szCs w:val="22"/>
        </w:rPr>
        <w:t xml:space="preserve">*) (z. B. mono-, di-, tri-, poly-Phosphorsäure und deren Salze)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Reaktive Chlorverbindungen (z. B. Hypochlorit)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Borate und Perborate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Perfluorierte organische Verbindungen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Halogenierte Kohlenwasserstoffe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Aromatische Kohlenwasserstoffe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Triclosan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lastRenderedPageBreak/>
        <w:t xml:space="preserve">• 3-Iod-2-propinylbutylcarbamat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Glutaraldehyd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Quartäre organische Ammonium-Verbindungen, die nicht biologisch leicht abbaubar sind </w:t>
      </w:r>
    </w:p>
    <w:p w:rsidR="0056486C" w:rsidRPr="006B4DB5" w:rsidRDefault="0056486C" w:rsidP="0056486C">
      <w:pPr>
        <w:pStyle w:val="Default"/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• Formaldehyd und </w:t>
      </w:r>
      <w:proofErr w:type="gramStart"/>
      <w:r w:rsidRPr="006B4DB5">
        <w:rPr>
          <w:rFonts w:ascii="Arial" w:hAnsi="Arial" w:cs="Arial"/>
          <w:sz w:val="22"/>
          <w:szCs w:val="22"/>
        </w:rPr>
        <w:t>Formaldehydabspalter(</w:t>
      </w:r>
      <w:proofErr w:type="gramEnd"/>
      <w:r w:rsidRPr="006B4DB5">
        <w:rPr>
          <w:rFonts w:ascii="Arial" w:hAnsi="Arial" w:cs="Arial"/>
          <w:sz w:val="22"/>
          <w:szCs w:val="22"/>
        </w:rPr>
        <w:t xml:space="preserve">**), z. B. (INCI-Bezeichnung): </w:t>
      </w:r>
    </w:p>
    <w:p w:rsidR="0056486C" w:rsidRPr="006B4DB5" w:rsidRDefault="0056486C" w:rsidP="0056486C">
      <w:pPr>
        <w:pStyle w:val="Default"/>
        <w:numPr>
          <w:ilvl w:val="0"/>
          <w:numId w:val="6"/>
        </w:numPr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2-Bromo-2-Nitropropane-1,3-Diol </w:t>
      </w:r>
    </w:p>
    <w:p w:rsidR="0056486C" w:rsidRPr="006B4DB5" w:rsidRDefault="0056486C" w:rsidP="0056486C">
      <w:pPr>
        <w:pStyle w:val="Default"/>
        <w:numPr>
          <w:ilvl w:val="0"/>
          <w:numId w:val="6"/>
        </w:numPr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5-Brom-5-nitro-1,3-dioxan </w:t>
      </w:r>
    </w:p>
    <w:p w:rsidR="0056486C" w:rsidRPr="006B4DB5" w:rsidRDefault="0056486C" w:rsidP="0056486C">
      <w:pPr>
        <w:pStyle w:val="Default"/>
        <w:numPr>
          <w:ilvl w:val="0"/>
          <w:numId w:val="6"/>
        </w:numPr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Diazolidinyl Urea </w:t>
      </w:r>
    </w:p>
    <w:p w:rsidR="0056486C" w:rsidRPr="006B4DB5" w:rsidRDefault="0056486C" w:rsidP="0056486C">
      <w:pPr>
        <w:pStyle w:val="Default"/>
        <w:numPr>
          <w:ilvl w:val="0"/>
          <w:numId w:val="5"/>
        </w:numPr>
        <w:spacing w:after="67"/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Sodium Hydroxymethylglycinate </w:t>
      </w:r>
    </w:p>
    <w:p w:rsidR="0056486C" w:rsidRPr="006B4DB5" w:rsidRDefault="0056486C" w:rsidP="0056486C">
      <w:pPr>
        <w:pStyle w:val="Defaul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6B4DB5">
        <w:rPr>
          <w:rFonts w:ascii="Arial" w:hAnsi="Arial" w:cs="Arial"/>
          <w:sz w:val="22"/>
          <w:szCs w:val="22"/>
        </w:rPr>
        <w:t xml:space="preserve">Dimethylol Glycol </w:t>
      </w:r>
    </w:p>
    <w:p w:rsidR="0056486C" w:rsidRPr="006B4DB5" w:rsidRDefault="0056486C" w:rsidP="0056486C">
      <w:pPr>
        <w:pStyle w:val="Listenabsatz"/>
        <w:numPr>
          <w:ilvl w:val="0"/>
          <w:numId w:val="5"/>
        </w:numPr>
        <w:overflowPunct/>
        <w:spacing w:after="67"/>
        <w:textAlignment w:val="auto"/>
        <w:rPr>
          <w:rFonts w:cs="Arial"/>
          <w:color w:val="000000"/>
          <w:szCs w:val="22"/>
        </w:rPr>
      </w:pPr>
      <w:r w:rsidRPr="006B4DB5">
        <w:rPr>
          <w:rFonts w:cs="Arial"/>
          <w:color w:val="000000"/>
          <w:szCs w:val="22"/>
        </w:rPr>
        <w:t xml:space="preserve">Dimethylol Urea </w:t>
      </w:r>
    </w:p>
    <w:p w:rsidR="0056486C" w:rsidRPr="006B4DB5" w:rsidRDefault="0056486C" w:rsidP="0056486C">
      <w:pPr>
        <w:pStyle w:val="Listenabsatz"/>
        <w:numPr>
          <w:ilvl w:val="0"/>
          <w:numId w:val="5"/>
        </w:numPr>
        <w:overflowPunct/>
        <w:spacing w:after="67"/>
        <w:textAlignment w:val="auto"/>
        <w:rPr>
          <w:rFonts w:cs="Arial"/>
          <w:color w:val="000000"/>
          <w:szCs w:val="22"/>
        </w:rPr>
      </w:pPr>
      <w:r w:rsidRPr="006B4DB5">
        <w:rPr>
          <w:rFonts w:cs="Arial"/>
          <w:color w:val="000000"/>
          <w:szCs w:val="22"/>
        </w:rPr>
        <w:t xml:space="preserve">DMDM-Hydantoin </w:t>
      </w:r>
    </w:p>
    <w:p w:rsidR="0056486C" w:rsidRPr="006B4DB5" w:rsidRDefault="0056486C" w:rsidP="0056486C">
      <w:pPr>
        <w:pStyle w:val="Listenabsatz"/>
        <w:numPr>
          <w:ilvl w:val="0"/>
          <w:numId w:val="5"/>
        </w:numPr>
        <w:overflowPunct/>
        <w:spacing w:after="67"/>
        <w:textAlignment w:val="auto"/>
        <w:rPr>
          <w:rFonts w:cs="Arial"/>
          <w:color w:val="000000"/>
          <w:szCs w:val="22"/>
        </w:rPr>
      </w:pPr>
      <w:r w:rsidRPr="006B4DB5">
        <w:rPr>
          <w:rFonts w:cs="Arial"/>
          <w:color w:val="000000"/>
          <w:szCs w:val="22"/>
        </w:rPr>
        <w:t xml:space="preserve">Quaternium-15 </w:t>
      </w:r>
    </w:p>
    <w:p w:rsidR="0056486C" w:rsidRPr="006B4DB5" w:rsidRDefault="0056486C" w:rsidP="0056486C">
      <w:pPr>
        <w:pStyle w:val="Listenabsatz"/>
        <w:numPr>
          <w:ilvl w:val="0"/>
          <w:numId w:val="5"/>
        </w:numPr>
        <w:overflowPunct/>
        <w:spacing w:after="67"/>
        <w:textAlignment w:val="auto"/>
        <w:rPr>
          <w:rFonts w:cs="Arial"/>
          <w:color w:val="000000"/>
          <w:szCs w:val="22"/>
        </w:rPr>
      </w:pPr>
      <w:r w:rsidRPr="006B4DB5">
        <w:rPr>
          <w:rFonts w:cs="Arial"/>
          <w:color w:val="000000"/>
          <w:szCs w:val="22"/>
        </w:rPr>
        <w:t xml:space="preserve">Tetramethylolglycoluril </w:t>
      </w:r>
    </w:p>
    <w:p w:rsidR="0056486C" w:rsidRPr="0056486C" w:rsidRDefault="0056486C" w:rsidP="0056486C">
      <w:pPr>
        <w:overflowPunct/>
        <w:spacing w:after="67"/>
        <w:textAlignment w:val="auto"/>
        <w:rPr>
          <w:rFonts w:cs="Arial"/>
          <w:color w:val="000000"/>
          <w:szCs w:val="22"/>
        </w:rPr>
      </w:pPr>
      <w:r w:rsidRPr="0056486C">
        <w:rPr>
          <w:rFonts w:cs="Arial"/>
          <w:color w:val="000000"/>
          <w:szCs w:val="22"/>
        </w:rPr>
        <w:t xml:space="preserve">• Nitromoschus- und polycyclische Moschusverbindungen wie z. B. </w:t>
      </w:r>
    </w:p>
    <w:p w:rsidR="0056486C" w:rsidRPr="006B4DB5" w:rsidRDefault="0056486C" w:rsidP="0056486C">
      <w:pPr>
        <w:pStyle w:val="Listenabsatz"/>
        <w:numPr>
          <w:ilvl w:val="0"/>
          <w:numId w:val="7"/>
        </w:numPr>
        <w:overflowPunct/>
        <w:spacing w:after="67"/>
        <w:textAlignment w:val="auto"/>
        <w:rPr>
          <w:rFonts w:cs="Arial"/>
          <w:color w:val="000000"/>
          <w:szCs w:val="22"/>
          <w:lang w:val="en-GB"/>
        </w:rPr>
      </w:pPr>
      <w:r w:rsidRPr="006B4DB5">
        <w:rPr>
          <w:rFonts w:cs="Arial"/>
          <w:color w:val="000000"/>
          <w:szCs w:val="22"/>
          <w:lang w:val="en-GB"/>
        </w:rPr>
        <w:t xml:space="preserve">Moschus-Xylol: 5-tert-Butyl-2,4,6-trinitro-m-xylol, </w:t>
      </w:r>
    </w:p>
    <w:p w:rsidR="0056486C" w:rsidRPr="006B4DB5" w:rsidRDefault="0056486C" w:rsidP="0056486C">
      <w:pPr>
        <w:pStyle w:val="Listenabsatz"/>
        <w:numPr>
          <w:ilvl w:val="0"/>
          <w:numId w:val="7"/>
        </w:numPr>
        <w:overflowPunct/>
        <w:spacing w:after="67"/>
        <w:textAlignment w:val="auto"/>
        <w:rPr>
          <w:rFonts w:cs="Arial"/>
          <w:color w:val="000000"/>
          <w:szCs w:val="22"/>
          <w:lang w:val="en-GB"/>
        </w:rPr>
      </w:pPr>
      <w:r w:rsidRPr="006B4DB5">
        <w:rPr>
          <w:rFonts w:cs="Arial"/>
          <w:color w:val="000000"/>
          <w:szCs w:val="22"/>
          <w:lang w:val="en-GB"/>
        </w:rPr>
        <w:t xml:space="preserve">Moschus-Ambrette: 4-tert-Butyl-3-methoxy-2,6-dinitrotoluol, </w:t>
      </w:r>
    </w:p>
    <w:p w:rsidR="0056486C" w:rsidRPr="006B4DB5" w:rsidRDefault="0056486C" w:rsidP="0056486C">
      <w:pPr>
        <w:pStyle w:val="Listenabsatz"/>
        <w:numPr>
          <w:ilvl w:val="0"/>
          <w:numId w:val="7"/>
        </w:numPr>
        <w:overflowPunct/>
        <w:spacing w:after="67"/>
        <w:textAlignment w:val="auto"/>
        <w:rPr>
          <w:rFonts w:cs="Arial"/>
          <w:color w:val="000000"/>
          <w:szCs w:val="22"/>
          <w:lang w:val="en-GB"/>
        </w:rPr>
      </w:pPr>
      <w:r w:rsidRPr="006B4DB5">
        <w:rPr>
          <w:rFonts w:cs="Arial"/>
          <w:color w:val="000000"/>
          <w:szCs w:val="22"/>
          <w:lang w:val="en-GB"/>
        </w:rPr>
        <w:t xml:space="preserve">Moschus-Mosken: 1,1,3,3,5-Pentamethyl-4,6-dinitroindan, </w:t>
      </w:r>
    </w:p>
    <w:p w:rsidR="0056486C" w:rsidRPr="006B4DB5" w:rsidRDefault="0056486C" w:rsidP="0056486C">
      <w:pPr>
        <w:pStyle w:val="Listenabsatz"/>
        <w:numPr>
          <w:ilvl w:val="0"/>
          <w:numId w:val="7"/>
        </w:numPr>
        <w:overflowPunct/>
        <w:spacing w:after="67"/>
        <w:textAlignment w:val="auto"/>
        <w:rPr>
          <w:rFonts w:cs="Arial"/>
          <w:color w:val="000000"/>
          <w:szCs w:val="22"/>
          <w:lang w:val="en-GB"/>
        </w:rPr>
      </w:pPr>
      <w:r w:rsidRPr="006B4DB5">
        <w:rPr>
          <w:rFonts w:cs="Arial"/>
          <w:color w:val="000000"/>
          <w:szCs w:val="22"/>
          <w:lang w:val="en-GB"/>
        </w:rPr>
        <w:t xml:space="preserve">Moschus-Tibeten: 1-tert-Butyl-3,4,5-trimethyl-2,6-dinitrobenzol, </w:t>
      </w:r>
    </w:p>
    <w:p w:rsidR="0056486C" w:rsidRPr="006B4DB5" w:rsidRDefault="0056486C" w:rsidP="0056486C">
      <w:pPr>
        <w:pStyle w:val="Listenabsatz"/>
        <w:numPr>
          <w:ilvl w:val="0"/>
          <w:numId w:val="7"/>
        </w:numPr>
        <w:overflowPunct/>
        <w:spacing w:after="67"/>
        <w:textAlignment w:val="auto"/>
        <w:rPr>
          <w:rFonts w:cs="Arial"/>
          <w:color w:val="000000"/>
          <w:szCs w:val="22"/>
          <w:lang w:val="en-GB"/>
        </w:rPr>
      </w:pPr>
      <w:r w:rsidRPr="006B4DB5">
        <w:rPr>
          <w:rFonts w:cs="Arial"/>
          <w:color w:val="000000"/>
          <w:szCs w:val="22"/>
          <w:lang w:val="en-GB"/>
        </w:rPr>
        <w:t xml:space="preserve">Moschus-Keton: 4’-tert-Butyl-2‘,6’-dimethyl-3‘,5’-dinitroacetaphenol, </w:t>
      </w:r>
    </w:p>
    <w:p w:rsidR="0056486C" w:rsidRPr="006B4DB5" w:rsidRDefault="0056486C" w:rsidP="0056486C">
      <w:pPr>
        <w:pStyle w:val="Listenabsatz"/>
        <w:numPr>
          <w:ilvl w:val="0"/>
          <w:numId w:val="7"/>
        </w:numPr>
        <w:overflowPunct/>
        <w:spacing w:after="67"/>
        <w:textAlignment w:val="auto"/>
        <w:rPr>
          <w:rFonts w:cs="Arial"/>
          <w:color w:val="000000"/>
          <w:szCs w:val="22"/>
          <w:lang w:val="en-GB"/>
        </w:rPr>
      </w:pPr>
      <w:r w:rsidRPr="006B4DB5">
        <w:rPr>
          <w:rFonts w:cs="Arial"/>
          <w:color w:val="000000"/>
          <w:szCs w:val="22"/>
          <w:lang w:val="en-GB"/>
        </w:rPr>
        <w:t xml:space="preserve">HHCB (1,3,4,6,7,8-Hexahydro-4,6,6,7,8,8-hexamethylcyclopenta-(g)-2benzopyran), </w:t>
      </w:r>
    </w:p>
    <w:p w:rsidR="0056486C" w:rsidRPr="006B4DB5" w:rsidRDefault="0056486C" w:rsidP="0056486C">
      <w:pPr>
        <w:pStyle w:val="Listenabsatz"/>
        <w:numPr>
          <w:ilvl w:val="0"/>
          <w:numId w:val="7"/>
        </w:numPr>
        <w:overflowPunct/>
        <w:spacing w:after="67"/>
        <w:textAlignment w:val="auto"/>
        <w:rPr>
          <w:rFonts w:cs="Arial"/>
          <w:color w:val="000000"/>
          <w:szCs w:val="22"/>
          <w:lang w:val="en-GB"/>
        </w:rPr>
      </w:pPr>
      <w:r w:rsidRPr="006B4DB5">
        <w:rPr>
          <w:rFonts w:cs="Arial"/>
          <w:color w:val="000000"/>
          <w:szCs w:val="22"/>
          <w:lang w:val="en-GB"/>
        </w:rPr>
        <w:t xml:space="preserve">AHTN (6-Acetyl-1,1,2,4,4,7-hexamethyltetralin) </w:t>
      </w:r>
    </w:p>
    <w:p w:rsidR="0056486C" w:rsidRPr="0056486C" w:rsidRDefault="0056486C" w:rsidP="0056486C">
      <w:pPr>
        <w:overflowPunct/>
        <w:spacing w:after="67"/>
        <w:textAlignment w:val="auto"/>
        <w:rPr>
          <w:rFonts w:cs="Arial"/>
          <w:color w:val="000000"/>
          <w:szCs w:val="22"/>
          <w:lang w:val="en-GB"/>
        </w:rPr>
      </w:pPr>
      <w:r w:rsidRPr="0056486C">
        <w:rPr>
          <w:rFonts w:cs="Arial"/>
          <w:color w:val="000000"/>
          <w:szCs w:val="22"/>
        </w:rPr>
        <w:t xml:space="preserve">• Nanosilber </w:t>
      </w:r>
    </w:p>
    <w:p w:rsidR="0056486C" w:rsidRPr="0056486C" w:rsidRDefault="0056486C" w:rsidP="0056486C">
      <w:pPr>
        <w:overflowPunct/>
        <w:spacing w:after="67"/>
        <w:textAlignment w:val="auto"/>
        <w:rPr>
          <w:rFonts w:cs="Arial"/>
          <w:color w:val="000000"/>
          <w:szCs w:val="22"/>
          <w:lang w:val="en-GB"/>
        </w:rPr>
      </w:pPr>
      <w:r w:rsidRPr="0056486C">
        <w:rPr>
          <w:rFonts w:cs="Arial"/>
          <w:color w:val="000000"/>
          <w:szCs w:val="22"/>
        </w:rPr>
        <w:t xml:space="preserve">• </w:t>
      </w:r>
      <w:r w:rsidRPr="0056486C">
        <w:rPr>
          <w:rFonts w:cs="Arial"/>
          <w:color w:val="000000"/>
          <w:szCs w:val="22"/>
          <w:lang w:val="en-GB"/>
        </w:rPr>
        <w:t xml:space="preserve">Hydroxyisohexyl 3-Cyclohexen Carboxaldehyd (HICC) </w:t>
      </w:r>
    </w:p>
    <w:p w:rsidR="0056486C" w:rsidRPr="0056486C" w:rsidRDefault="0056486C" w:rsidP="0056486C">
      <w:pPr>
        <w:overflowPunct/>
        <w:spacing w:after="67"/>
        <w:textAlignment w:val="auto"/>
        <w:rPr>
          <w:rFonts w:cs="Arial"/>
          <w:color w:val="000000"/>
          <w:szCs w:val="22"/>
        </w:rPr>
      </w:pPr>
      <w:r w:rsidRPr="0056486C">
        <w:rPr>
          <w:rFonts w:cs="Arial"/>
          <w:color w:val="000000"/>
          <w:szCs w:val="22"/>
        </w:rPr>
        <w:t xml:space="preserve">• Atranol </w:t>
      </w:r>
    </w:p>
    <w:p w:rsidR="0056486C" w:rsidRPr="0056486C" w:rsidRDefault="0056486C" w:rsidP="0056486C">
      <w:pPr>
        <w:overflowPunct/>
        <w:spacing w:after="67"/>
        <w:textAlignment w:val="auto"/>
        <w:rPr>
          <w:rFonts w:cs="Arial"/>
          <w:color w:val="000000"/>
          <w:szCs w:val="22"/>
        </w:rPr>
      </w:pPr>
      <w:r w:rsidRPr="0056486C">
        <w:rPr>
          <w:rFonts w:cs="Arial"/>
          <w:color w:val="000000"/>
          <w:szCs w:val="22"/>
        </w:rPr>
        <w:t xml:space="preserve">• Chloratranol </w:t>
      </w:r>
    </w:p>
    <w:p w:rsidR="0056486C" w:rsidRPr="0056486C" w:rsidRDefault="0056486C" w:rsidP="0056486C">
      <w:pPr>
        <w:overflowPunct/>
        <w:spacing w:after="67"/>
        <w:textAlignment w:val="auto"/>
        <w:rPr>
          <w:rFonts w:cs="Arial"/>
          <w:color w:val="000000"/>
          <w:szCs w:val="22"/>
        </w:rPr>
      </w:pPr>
      <w:r w:rsidRPr="0056486C">
        <w:rPr>
          <w:rFonts w:cs="Arial"/>
          <w:color w:val="000000"/>
          <w:szCs w:val="22"/>
        </w:rPr>
        <w:t xml:space="preserve">• Rhodamin B </w:t>
      </w:r>
    </w:p>
    <w:p w:rsidR="0056486C" w:rsidRPr="006B4DB5" w:rsidRDefault="0056486C" w:rsidP="0056486C">
      <w:pPr>
        <w:overflowPunct/>
        <w:textAlignment w:val="auto"/>
        <w:rPr>
          <w:rFonts w:cs="Arial"/>
          <w:color w:val="000000"/>
          <w:szCs w:val="22"/>
        </w:rPr>
      </w:pPr>
      <w:r w:rsidRPr="0056486C">
        <w:rPr>
          <w:rFonts w:cs="Arial"/>
          <w:color w:val="000000"/>
          <w:szCs w:val="22"/>
        </w:rPr>
        <w:t xml:space="preserve">• Mikroplastik </w:t>
      </w:r>
    </w:p>
    <w:p w:rsidR="0056486C" w:rsidRPr="0056486C" w:rsidRDefault="0056486C" w:rsidP="0056486C">
      <w:pPr>
        <w:overflowPunct/>
        <w:textAlignment w:val="auto"/>
        <w:rPr>
          <w:rFonts w:cs="Arial"/>
          <w:color w:val="000000"/>
          <w:szCs w:val="22"/>
        </w:rPr>
      </w:pPr>
    </w:p>
    <w:p w:rsidR="0056486C" w:rsidRPr="0056486C" w:rsidRDefault="0056486C" w:rsidP="0056486C">
      <w:pPr>
        <w:overflowPunct/>
        <w:textAlignment w:val="auto"/>
        <w:rPr>
          <w:rFonts w:cs="Arial"/>
          <w:color w:val="000000"/>
          <w:sz w:val="18"/>
          <w:szCs w:val="18"/>
        </w:rPr>
      </w:pPr>
      <w:r w:rsidRPr="0056486C">
        <w:rPr>
          <w:rFonts w:cs="Arial"/>
          <w:color w:val="000000"/>
          <w:sz w:val="18"/>
          <w:szCs w:val="18"/>
        </w:rPr>
        <w:t xml:space="preserve">(*) Ausgenommen Verunreinigungen oder Stabilisatoren bei Konzentrationen unter 1,0 % im Rohstoff und einer </w:t>
      </w:r>
    </w:p>
    <w:p w:rsidR="0056486C" w:rsidRPr="0056486C" w:rsidRDefault="0056486C" w:rsidP="0056486C">
      <w:pPr>
        <w:overflowPunct/>
        <w:textAlignment w:val="auto"/>
        <w:rPr>
          <w:rFonts w:cs="Arial"/>
          <w:color w:val="000000"/>
          <w:sz w:val="18"/>
          <w:szCs w:val="18"/>
        </w:rPr>
      </w:pPr>
      <w:r w:rsidRPr="006B4DB5">
        <w:rPr>
          <w:rFonts w:cs="Arial"/>
          <w:color w:val="000000"/>
          <w:sz w:val="18"/>
          <w:szCs w:val="18"/>
        </w:rPr>
        <w:t xml:space="preserve">     </w:t>
      </w:r>
      <w:r w:rsidRPr="0056486C">
        <w:rPr>
          <w:rFonts w:cs="Arial"/>
          <w:color w:val="000000"/>
          <w:sz w:val="18"/>
          <w:szCs w:val="18"/>
        </w:rPr>
        <w:t xml:space="preserve">Gesamtkonzentration im Endprodukt unter 0,010 %. </w:t>
      </w:r>
    </w:p>
    <w:p w:rsidR="0056486C" w:rsidRPr="006B4DB5" w:rsidRDefault="0056486C" w:rsidP="0056486C">
      <w:pPr>
        <w:overflowPunct/>
        <w:textAlignment w:val="auto"/>
        <w:rPr>
          <w:rFonts w:cs="Arial"/>
          <w:color w:val="000000"/>
          <w:sz w:val="18"/>
          <w:szCs w:val="18"/>
        </w:rPr>
      </w:pPr>
      <w:r w:rsidRPr="0056486C">
        <w:rPr>
          <w:rFonts w:cs="Arial"/>
          <w:color w:val="000000"/>
          <w:sz w:val="18"/>
          <w:szCs w:val="18"/>
        </w:rPr>
        <w:t xml:space="preserve">(**) Ausgenommen Verunreinigungen an Formaldehyd in Tensiden auf der Basis von Polyalkoxy-Verbindungen </w:t>
      </w:r>
    </w:p>
    <w:p w:rsidR="0056486C" w:rsidRPr="006B4DB5" w:rsidRDefault="0056486C" w:rsidP="0056486C">
      <w:pPr>
        <w:overflowPunct/>
        <w:textAlignment w:val="auto"/>
        <w:rPr>
          <w:rFonts w:cs="Arial"/>
          <w:szCs w:val="22"/>
        </w:rPr>
      </w:pPr>
      <w:r w:rsidRPr="006B4DB5">
        <w:rPr>
          <w:rFonts w:cs="Arial"/>
          <w:color w:val="000000"/>
          <w:sz w:val="18"/>
          <w:szCs w:val="18"/>
        </w:rPr>
        <w:t xml:space="preserve">      </w:t>
      </w:r>
      <w:r w:rsidRPr="0056486C">
        <w:rPr>
          <w:rFonts w:cs="Arial"/>
          <w:color w:val="000000"/>
          <w:sz w:val="18"/>
          <w:szCs w:val="18"/>
        </w:rPr>
        <w:t xml:space="preserve">bis zu </w:t>
      </w:r>
      <w:r w:rsidRPr="006B4DB5">
        <w:rPr>
          <w:rFonts w:cs="Arial"/>
          <w:sz w:val="18"/>
          <w:szCs w:val="18"/>
        </w:rPr>
        <w:t>einer Konzentration von 0,010 Gew.- % im Inhaltsstoff</w:t>
      </w:r>
    </w:p>
    <w:p w:rsidR="001813DC" w:rsidRPr="006B4DB5" w:rsidRDefault="001813DC" w:rsidP="0056486C">
      <w:pPr>
        <w:rPr>
          <w:rFonts w:cs="Arial"/>
          <w:szCs w:val="22"/>
        </w:rPr>
      </w:pPr>
    </w:p>
    <w:p w:rsidR="001813DC" w:rsidRDefault="001813DC" w:rsidP="0056486C">
      <w:pPr>
        <w:rPr>
          <w:rFonts w:cs="Arial"/>
          <w:szCs w:val="22"/>
        </w:rPr>
      </w:pPr>
    </w:p>
    <w:p w:rsidR="006B4DB5" w:rsidRDefault="0036088D" w:rsidP="0056486C">
      <w:pPr>
        <w:rPr>
          <w:rFonts w:cs="Arial"/>
          <w:szCs w:val="22"/>
        </w:rPr>
      </w:pPr>
      <w:r>
        <w:rPr>
          <w:rFonts w:cs="Arial"/>
          <w:szCs w:val="22"/>
        </w:rPr>
        <w:t>Unser Kunde (der Zeichennehmer des Blauen Engels) wird</w:t>
      </w:r>
      <w:r w:rsidRPr="0036088D">
        <w:rPr>
          <w:rFonts w:cs="Arial"/>
          <w:szCs w:val="22"/>
        </w:rPr>
        <w:t xml:space="preserve"> ausdrücklich</w:t>
      </w:r>
      <w:r>
        <w:rPr>
          <w:rFonts w:cs="Arial"/>
          <w:szCs w:val="22"/>
        </w:rPr>
        <w:t xml:space="preserve"> und umgehend</w:t>
      </w:r>
      <w:r w:rsidRPr="0036088D">
        <w:rPr>
          <w:rFonts w:cs="Arial"/>
          <w:szCs w:val="22"/>
        </w:rPr>
        <w:t xml:space="preserve"> informiert, wenn Änderungen der Einstufung von Inhaltsstoffen sowie </w:t>
      </w:r>
      <w:r>
        <w:rPr>
          <w:rFonts w:cs="Arial"/>
          <w:szCs w:val="22"/>
        </w:rPr>
        <w:t xml:space="preserve">die </w:t>
      </w:r>
      <w:r w:rsidRPr="0036088D">
        <w:rPr>
          <w:rFonts w:cs="Arial"/>
          <w:szCs w:val="22"/>
        </w:rPr>
        <w:t>Aufnahme von Inhaltsstoffen auf die Kandidatenliste aufgetreten sind, die den Anforderungen des Blauen Engel entgegenstehen.</w:t>
      </w:r>
    </w:p>
    <w:p w:rsidR="0036088D" w:rsidRDefault="0036088D" w:rsidP="0056486C">
      <w:pPr>
        <w:rPr>
          <w:rFonts w:cs="Arial"/>
          <w:szCs w:val="22"/>
        </w:rPr>
      </w:pPr>
    </w:p>
    <w:p w:rsidR="0036088D" w:rsidRDefault="00411355" w:rsidP="0056486C">
      <w:pPr>
        <w:rPr>
          <w:rFonts w:cs="Arial"/>
          <w:szCs w:val="22"/>
        </w:rPr>
      </w:pPr>
      <w:r>
        <w:rPr>
          <w:rFonts w:cs="Arial"/>
          <w:szCs w:val="22"/>
        </w:rPr>
        <w:t>Kommentare:</w:t>
      </w:r>
    </w:p>
    <w:sdt>
      <w:sdtPr>
        <w:rPr>
          <w:rFonts w:cs="Arial"/>
          <w:szCs w:val="22"/>
        </w:rPr>
        <w:id w:val="-1832819145"/>
        <w:placeholder>
          <w:docPart w:val="DefaultPlaceholder_-1854013440"/>
        </w:placeholder>
        <w:showingPlcHdr/>
        <w:text/>
      </w:sdtPr>
      <w:sdtContent>
        <w:p w:rsidR="00411355" w:rsidRPr="006B4DB5" w:rsidRDefault="00411355" w:rsidP="0056486C">
          <w:pPr>
            <w:rPr>
              <w:rFonts w:cs="Arial"/>
              <w:szCs w:val="22"/>
            </w:rPr>
          </w:pPr>
          <w:r w:rsidRPr="00452E82">
            <w:rPr>
              <w:rStyle w:val="Platzhaltertext"/>
            </w:rPr>
            <w:t>Klicken oder tippen Sie hier, um Text einzugeben.</w:t>
          </w:r>
        </w:p>
      </w:sdtContent>
    </w:sdt>
    <w:p w:rsidR="00495CAF" w:rsidRDefault="00495CAF" w:rsidP="0056486C">
      <w:pPr>
        <w:rPr>
          <w:rFonts w:cs="Arial"/>
          <w:szCs w:val="22"/>
        </w:rPr>
      </w:pPr>
    </w:p>
    <w:p w:rsidR="00A50B27" w:rsidRPr="006B4DB5" w:rsidRDefault="00A50B27" w:rsidP="0056486C">
      <w:pPr>
        <w:rPr>
          <w:rFonts w:cs="Arial"/>
          <w:szCs w:val="22"/>
        </w:rPr>
      </w:pPr>
    </w:p>
    <w:p w:rsidR="00406593" w:rsidRPr="006B4DB5" w:rsidRDefault="00406593" w:rsidP="00406593">
      <w:pPr>
        <w:tabs>
          <w:tab w:val="left" w:pos="6804"/>
        </w:tabs>
        <w:ind w:left="851" w:hanging="851"/>
        <w:rPr>
          <w:rFonts w:cs="Arial"/>
          <w:szCs w:val="22"/>
        </w:rPr>
      </w:pPr>
    </w:p>
    <w:p w:rsidR="00406593" w:rsidRPr="006B4DB5" w:rsidRDefault="00406593" w:rsidP="003631A3">
      <w:pPr>
        <w:tabs>
          <w:tab w:val="left" w:pos="851"/>
          <w:tab w:val="left" w:pos="5103"/>
          <w:tab w:val="left" w:pos="6804"/>
        </w:tabs>
        <w:ind w:left="851" w:hanging="851"/>
        <w:rPr>
          <w:rFonts w:cs="Arial"/>
          <w:szCs w:val="22"/>
        </w:rPr>
      </w:pPr>
      <w:r w:rsidRPr="006B4DB5">
        <w:rPr>
          <w:rFonts w:cs="Arial"/>
          <w:szCs w:val="22"/>
        </w:rPr>
        <w:t>Ort:</w:t>
      </w:r>
      <w:r w:rsidRPr="006B4DB5">
        <w:rPr>
          <w:rFonts w:cs="Arial"/>
          <w:szCs w:val="22"/>
        </w:rPr>
        <w:tab/>
      </w:r>
      <w:r w:rsidR="003631A3" w:rsidRPr="006B4DB5"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3" w:name="Text4"/>
      <w:r w:rsidR="003631A3" w:rsidRPr="006B4DB5">
        <w:rPr>
          <w:rFonts w:cs="Arial"/>
          <w:szCs w:val="22"/>
        </w:rPr>
        <w:instrText xml:space="preserve"> FORMTEXT </w:instrText>
      </w:r>
      <w:r w:rsidR="003631A3" w:rsidRPr="006B4DB5">
        <w:rPr>
          <w:rFonts w:cs="Arial"/>
          <w:szCs w:val="22"/>
        </w:rPr>
      </w:r>
      <w:r w:rsidR="003631A3" w:rsidRPr="006B4DB5">
        <w:rPr>
          <w:rFonts w:cs="Arial"/>
          <w:szCs w:val="22"/>
        </w:rPr>
        <w:fldChar w:fldCharType="separate"/>
      </w:r>
      <w:bookmarkStart w:id="4" w:name="_GoBack"/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bookmarkEnd w:id="4"/>
      <w:r w:rsidR="003631A3" w:rsidRPr="006B4DB5">
        <w:rPr>
          <w:rFonts w:cs="Arial"/>
          <w:szCs w:val="22"/>
        </w:rPr>
        <w:fldChar w:fldCharType="end"/>
      </w:r>
      <w:bookmarkEnd w:id="3"/>
      <w:r w:rsidRPr="006B4DB5">
        <w:rPr>
          <w:rFonts w:cs="Arial"/>
          <w:szCs w:val="22"/>
        </w:rPr>
        <w:tab/>
        <w:t>Hersteller des Wasch-/Reinigungsmittels</w:t>
      </w:r>
    </w:p>
    <w:p w:rsidR="00406593" w:rsidRPr="006B4DB5" w:rsidRDefault="00406593" w:rsidP="003631A3">
      <w:pPr>
        <w:tabs>
          <w:tab w:val="left" w:pos="851"/>
          <w:tab w:val="left" w:pos="5103"/>
          <w:tab w:val="left" w:pos="6804"/>
        </w:tabs>
        <w:ind w:left="851" w:hanging="851"/>
        <w:rPr>
          <w:rFonts w:cs="Arial"/>
          <w:szCs w:val="22"/>
        </w:rPr>
      </w:pPr>
      <w:r w:rsidRPr="006B4DB5">
        <w:rPr>
          <w:rFonts w:cs="Arial"/>
          <w:szCs w:val="22"/>
        </w:rPr>
        <w:tab/>
      </w:r>
      <w:r w:rsidRPr="006B4DB5">
        <w:rPr>
          <w:rFonts w:cs="Arial"/>
          <w:szCs w:val="22"/>
        </w:rPr>
        <w:tab/>
        <w:t>(rechtsverbindliche Unterschrift und</w:t>
      </w:r>
    </w:p>
    <w:p w:rsidR="00D41A9A" w:rsidRDefault="00406593" w:rsidP="003631A3">
      <w:pPr>
        <w:tabs>
          <w:tab w:val="left" w:pos="851"/>
          <w:tab w:val="left" w:pos="5103"/>
        </w:tabs>
        <w:rPr>
          <w:rFonts w:cs="Arial"/>
          <w:szCs w:val="22"/>
        </w:rPr>
      </w:pPr>
      <w:r w:rsidRPr="006B4DB5">
        <w:rPr>
          <w:rFonts w:cs="Arial"/>
          <w:szCs w:val="22"/>
        </w:rPr>
        <w:t>Datum:</w:t>
      </w:r>
      <w:r w:rsidRPr="006B4DB5">
        <w:rPr>
          <w:rFonts w:cs="Arial"/>
          <w:szCs w:val="22"/>
        </w:rPr>
        <w:tab/>
      </w:r>
      <w:r w:rsidR="003631A3" w:rsidRPr="006B4DB5">
        <w:rPr>
          <w:rFonts w:cs="Arial"/>
          <w:szCs w:val="22"/>
        </w:rPr>
        <w:fldChar w:fldCharType="begin">
          <w:ffData>
            <w:name w:val="Text5"/>
            <w:enabled/>
            <w:calcOnExit w:val="0"/>
            <w:textInput>
              <w:maxLength w:val="15"/>
            </w:textInput>
          </w:ffData>
        </w:fldChar>
      </w:r>
      <w:bookmarkStart w:id="5" w:name="Text5"/>
      <w:r w:rsidR="003631A3" w:rsidRPr="006B4DB5">
        <w:rPr>
          <w:rFonts w:cs="Arial"/>
          <w:szCs w:val="22"/>
        </w:rPr>
        <w:instrText xml:space="preserve"> FORMTEXT </w:instrText>
      </w:r>
      <w:r w:rsidR="003631A3" w:rsidRPr="006B4DB5">
        <w:rPr>
          <w:rFonts w:cs="Arial"/>
          <w:szCs w:val="22"/>
        </w:rPr>
      </w:r>
      <w:r w:rsidR="003631A3" w:rsidRPr="006B4DB5">
        <w:rPr>
          <w:rFonts w:cs="Arial"/>
          <w:szCs w:val="22"/>
        </w:rPr>
        <w:fldChar w:fldCharType="separate"/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953E0B" w:rsidRPr="006B4DB5">
        <w:rPr>
          <w:rFonts w:cs="Arial"/>
          <w:noProof/>
          <w:szCs w:val="22"/>
        </w:rPr>
        <w:t> </w:t>
      </w:r>
      <w:r w:rsidR="003631A3" w:rsidRPr="006B4DB5">
        <w:rPr>
          <w:rFonts w:cs="Arial"/>
          <w:szCs w:val="22"/>
        </w:rPr>
        <w:fldChar w:fldCharType="end"/>
      </w:r>
      <w:bookmarkEnd w:id="5"/>
      <w:r w:rsidR="003631A3" w:rsidRPr="006B4DB5">
        <w:rPr>
          <w:rFonts w:cs="Arial"/>
          <w:szCs w:val="22"/>
        </w:rPr>
        <w:tab/>
      </w:r>
      <w:r w:rsidRPr="006B4DB5">
        <w:rPr>
          <w:rFonts w:cs="Arial"/>
          <w:szCs w:val="22"/>
        </w:rPr>
        <w:t xml:space="preserve"> Firmenstempel)</w:t>
      </w:r>
    </w:p>
    <w:p w:rsidR="00411355" w:rsidRPr="006B4DB5" w:rsidRDefault="00411355" w:rsidP="003631A3">
      <w:pPr>
        <w:tabs>
          <w:tab w:val="left" w:pos="851"/>
          <w:tab w:val="left" w:pos="5103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-1824185490"/>
          <w:showingPlcHdr/>
          <w:picture/>
        </w:sdtPr>
        <w:sdtContent>
          <w:r>
            <w:rPr>
              <w:rFonts w:cs="Arial"/>
              <w:noProof/>
              <w:szCs w:val="22"/>
            </w:rPr>
            <w:drawing>
              <wp:inline distT="0" distB="0" distL="0" distR="0">
                <wp:extent cx="2552700" cy="624840"/>
                <wp:effectExtent l="0" t="0" r="0" b="3810"/>
                <wp:docPr id="2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2700" cy="624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sectPr w:rsidR="00411355" w:rsidRPr="006B4DB5" w:rsidSect="00FC5284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1F8" w:rsidRDefault="00FE71F8">
      <w:r>
        <w:separator/>
      </w:r>
    </w:p>
  </w:endnote>
  <w:endnote w:type="continuationSeparator" w:id="0">
    <w:p w:rsidR="00FE71F8" w:rsidRDefault="00FE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593" w:rsidRDefault="00411355">
    <w:pPr>
      <w:pStyle w:val="Fuzeile"/>
    </w:pPr>
    <w:r>
      <w:rPr>
        <w:rFonts w:cs="Arial"/>
        <w:szCs w:val="22"/>
      </w:rPr>
      <w:t>01</w:t>
    </w:r>
    <w:r w:rsidR="00495CAF">
      <w:rPr>
        <w:rFonts w:cs="Arial"/>
        <w:szCs w:val="22"/>
      </w:rPr>
      <w:t>.0</w:t>
    </w:r>
    <w:r>
      <w:rPr>
        <w:rFonts w:cs="Arial"/>
        <w:szCs w:val="22"/>
      </w:rPr>
      <w:t>3</w:t>
    </w:r>
    <w:r w:rsidR="00495CAF">
      <w:rPr>
        <w:rFonts w:cs="Arial"/>
        <w:szCs w:val="22"/>
      </w:rPr>
      <w:t>.202</w:t>
    </w:r>
    <w:r>
      <w:rPr>
        <w:rFonts w:cs="Arial"/>
        <w:szCs w:val="22"/>
      </w:rPr>
      <w:t>3</w:t>
    </w:r>
    <w:r w:rsidR="00495CAF">
      <w:rPr>
        <w:rFonts w:cs="Arial"/>
        <w:szCs w:val="22"/>
      </w:rPr>
      <w:t xml:space="preserve"> (Version </w:t>
    </w:r>
    <w:r>
      <w:rPr>
        <w:rFonts w:cs="Arial"/>
        <w:szCs w:val="22"/>
      </w:rPr>
      <w:t>2</w:t>
    </w:r>
    <w:r w:rsidR="00495CAF">
      <w:rPr>
        <w:rFonts w:cs="Arial"/>
        <w:szCs w:val="22"/>
      </w:rPr>
      <w:t>)</w:t>
    </w:r>
    <w:r w:rsidR="00406593">
      <w:rPr>
        <w:rFonts w:cs="Arial"/>
        <w:szCs w:val="22"/>
      </w:rPr>
      <w:tab/>
    </w:r>
    <w:r w:rsidR="00406593" w:rsidRPr="00936CD0">
      <w:rPr>
        <w:rStyle w:val="Seitenzahl"/>
        <w:rFonts w:cs="Arial"/>
        <w:szCs w:val="22"/>
      </w:rPr>
      <w:fldChar w:fldCharType="begin"/>
    </w:r>
    <w:r w:rsidR="00406593" w:rsidRPr="00936CD0">
      <w:rPr>
        <w:rStyle w:val="Seitenzahl"/>
        <w:rFonts w:cs="Arial"/>
        <w:szCs w:val="22"/>
      </w:rPr>
      <w:instrText xml:space="preserve"> PAGE </w:instrText>
    </w:r>
    <w:r w:rsidR="00406593" w:rsidRPr="00936CD0">
      <w:rPr>
        <w:rStyle w:val="Seitenzahl"/>
        <w:rFonts w:cs="Arial"/>
        <w:szCs w:val="22"/>
      </w:rPr>
      <w:fldChar w:fldCharType="separate"/>
    </w:r>
    <w:r w:rsidR="0013225B">
      <w:rPr>
        <w:rStyle w:val="Seitenzahl"/>
        <w:rFonts w:cs="Arial"/>
        <w:noProof/>
        <w:szCs w:val="22"/>
      </w:rPr>
      <w:t>1</w:t>
    </w:r>
    <w:r w:rsidR="00406593" w:rsidRPr="00936CD0">
      <w:rPr>
        <w:rStyle w:val="Seitenzahl"/>
        <w:rFonts w:cs="Arial"/>
        <w:szCs w:val="22"/>
      </w:rPr>
      <w:fldChar w:fldCharType="end"/>
    </w:r>
    <w:r w:rsidR="00406593">
      <w:rPr>
        <w:rFonts w:cs="Arial"/>
        <w:szCs w:val="22"/>
      </w:rPr>
      <w:t>/</w:t>
    </w:r>
    <w:r w:rsidR="00495CAF">
      <w:rPr>
        <w:rFonts w:cs="Arial"/>
        <w:szCs w:val="22"/>
      </w:rPr>
      <w:fldChar w:fldCharType="begin"/>
    </w:r>
    <w:r w:rsidR="00495CAF">
      <w:rPr>
        <w:rFonts w:cs="Arial"/>
        <w:szCs w:val="22"/>
      </w:rPr>
      <w:instrText xml:space="preserve"> NUMPAGES   \* MERGEFORMAT </w:instrText>
    </w:r>
    <w:r w:rsidR="00495CAF">
      <w:rPr>
        <w:rFonts w:cs="Arial"/>
        <w:szCs w:val="22"/>
      </w:rPr>
      <w:fldChar w:fldCharType="separate"/>
    </w:r>
    <w:r w:rsidR="00495CAF">
      <w:rPr>
        <w:rFonts w:cs="Arial"/>
        <w:noProof/>
        <w:szCs w:val="22"/>
      </w:rPr>
      <w:t>2</w:t>
    </w:r>
    <w:r w:rsidR="00495CAF">
      <w:rPr>
        <w:rFonts w:cs="Arial"/>
        <w:szCs w:val="22"/>
      </w:rPr>
      <w:fldChar w:fldCharType="end"/>
    </w:r>
    <w:r w:rsidR="00406593">
      <w:rPr>
        <w:rFonts w:cs="Arial"/>
        <w:szCs w:val="22"/>
      </w:rPr>
      <w:tab/>
    </w:r>
    <w:r w:rsidR="00921B65">
      <w:rPr>
        <w:rFonts w:cs="Arial"/>
        <w:szCs w:val="22"/>
      </w:rPr>
      <w:t>DE-</w:t>
    </w:r>
    <w:r w:rsidR="00406593">
      <w:rPr>
        <w:rFonts w:cs="Arial"/>
        <w:szCs w:val="22"/>
      </w:rPr>
      <w:t xml:space="preserve">UZ 104 Ausgabe </w:t>
    </w:r>
    <w:r w:rsidR="001813DC">
      <w:rPr>
        <w:rFonts w:cs="Arial"/>
        <w:szCs w:val="22"/>
      </w:rPr>
      <w:t>Januar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1F8" w:rsidRDefault="00FE71F8">
      <w:r>
        <w:separator/>
      </w:r>
    </w:p>
  </w:footnote>
  <w:footnote w:type="continuationSeparator" w:id="0">
    <w:p w:rsidR="00FE71F8" w:rsidRDefault="00FE7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593" w:rsidRDefault="00D06AD5" w:rsidP="00FC5284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BBAB1F7"/>
    <w:multiLevelType w:val="hybridMultilevel"/>
    <w:tmpl w:val="0078C2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B4DE163C"/>
    <w:lvl w:ilvl="0">
      <w:numFmt w:val="decimal"/>
      <w:lvlText w:val="*"/>
      <w:lvlJc w:val="left"/>
    </w:lvl>
  </w:abstractNum>
  <w:abstractNum w:abstractNumId="2" w15:restartNumberingAfterBreak="0">
    <w:nsid w:val="13BF330B"/>
    <w:multiLevelType w:val="hybridMultilevel"/>
    <w:tmpl w:val="B9D498AE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74E4B7A"/>
    <w:multiLevelType w:val="hybridMultilevel"/>
    <w:tmpl w:val="73ECC27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F774C"/>
    <w:multiLevelType w:val="hybridMultilevel"/>
    <w:tmpl w:val="CB7018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71A5E"/>
    <w:multiLevelType w:val="hybridMultilevel"/>
    <w:tmpl w:val="7AE655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B4001"/>
    <w:multiLevelType w:val="hybridMultilevel"/>
    <w:tmpl w:val="29AAA488"/>
    <w:lvl w:ilvl="0" w:tplc="0407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YQFJC8PBqsph0tWsWO41HOria5kE3Cozb1LkFFP5okF/RMwy6B2i8LDr4vVSgIIfa58nyfXUbEAIFrwBs5lKQ==" w:salt="PkD046VXNsFKoaKA6gGv2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225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13DC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4599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088D"/>
    <w:rsid w:val="003631A3"/>
    <w:rsid w:val="003650F1"/>
    <w:rsid w:val="00365741"/>
    <w:rsid w:val="00366580"/>
    <w:rsid w:val="0036768B"/>
    <w:rsid w:val="00373686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6593"/>
    <w:rsid w:val="004072FA"/>
    <w:rsid w:val="00411355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E97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95CAF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486C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2ED8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B4DB5"/>
    <w:rsid w:val="006C3B13"/>
    <w:rsid w:val="006C65A9"/>
    <w:rsid w:val="006C7BCB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658E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1B65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E0B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26A7B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502AD"/>
    <w:rsid w:val="00A50B27"/>
    <w:rsid w:val="00A55A0A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16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06AD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5284"/>
    <w:rsid w:val="00FC63D5"/>
    <w:rsid w:val="00FC6651"/>
    <w:rsid w:val="00FD048C"/>
    <w:rsid w:val="00FD3854"/>
    <w:rsid w:val="00FD4E3E"/>
    <w:rsid w:val="00FE1057"/>
    <w:rsid w:val="00FE71F8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35A46F7"/>
  <w15:chartTrackingRefBased/>
  <w15:docId w15:val="{57177828-322C-4BE7-BAF4-4DAB2562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C528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FC5284"/>
    <w:rPr>
      <w:sz w:val="20"/>
    </w:rPr>
  </w:style>
  <w:style w:type="character" w:styleId="Funotenzeichen">
    <w:name w:val="footnote reference"/>
    <w:semiHidden/>
    <w:rsid w:val="00FC5284"/>
    <w:rPr>
      <w:vertAlign w:val="superscript"/>
    </w:rPr>
  </w:style>
  <w:style w:type="paragraph" w:styleId="Kopfzeile">
    <w:name w:val="header"/>
    <w:basedOn w:val="Standard"/>
    <w:rsid w:val="00FC52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528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C5284"/>
  </w:style>
  <w:style w:type="table" w:styleId="Tabellenraster">
    <w:name w:val="Table Grid"/>
    <w:basedOn w:val="NormaleTabelle"/>
    <w:uiPriority w:val="59"/>
    <w:rsid w:val="00367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486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6486C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113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CA91B3-2513-4C1F-B62D-8A2422B1EB51}"/>
      </w:docPartPr>
      <w:docPartBody>
        <w:p w:rsidR="00000000" w:rsidRDefault="00812139">
          <w:r w:rsidRPr="00452E82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39"/>
    <w:rsid w:val="0081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1213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104</vt:lpstr>
    </vt:vector>
  </TitlesOfParts>
  <Company>RAL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104</dc:title>
  <dc:subject/>
  <dc:creator>hermann</dc:creator>
  <cp:keywords/>
  <cp:lastModifiedBy>Susanne.deBoor</cp:lastModifiedBy>
  <cp:revision>7</cp:revision>
  <dcterms:created xsi:type="dcterms:W3CDTF">2021-05-07T13:48:00Z</dcterms:created>
  <dcterms:modified xsi:type="dcterms:W3CDTF">2023-03-03T10:31:00Z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1420027347</vt:i4>
  </property>
  <property fmtid="{D5CDD505-2E9C-101B-9397-08002B2CF9AE}" pid="3" name="_EmailSubject">
    <vt:lpwstr>RAL-Uz 99 und RAL-uZ 104 d + e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